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90" w:rsidRPr="008356A8" w:rsidRDefault="00007990" w:rsidP="000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07990" w:rsidRPr="008356A8" w:rsidRDefault="00007990" w:rsidP="000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«Новомитропольская средняя школа»</w:t>
      </w:r>
    </w:p>
    <w:p w:rsidR="00007990" w:rsidRPr="008356A8" w:rsidRDefault="00007990" w:rsidP="000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036"/>
        <w:gridCol w:w="3382"/>
      </w:tblGrid>
      <w:tr w:rsidR="00007990" w:rsidRPr="008356A8" w:rsidTr="002605A0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метод. совета 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990" w:rsidRPr="008356A8" w:rsidRDefault="00B745C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» августа 2020</w:t>
            </w:r>
            <w:r w:rsidR="00007990"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УВР  МБОУ «НСШ»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___В. Н. Хлебникова</w:t>
            </w:r>
          </w:p>
          <w:p w:rsidR="00007990" w:rsidRPr="008356A8" w:rsidRDefault="00B745C0" w:rsidP="002605A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  » августа     2020</w:t>
            </w:r>
            <w:r w:rsidR="00007990"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            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______________</w:t>
            </w:r>
            <w:proofErr w:type="spellStart"/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</w:p>
          <w:p w:rsidR="00007990" w:rsidRPr="008356A8" w:rsidRDefault="00B745C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»  августа               2020</w:t>
            </w:r>
            <w:r w:rsidR="00007990"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07990" w:rsidRPr="008356A8" w:rsidRDefault="00007990" w:rsidP="002605A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Прикладная математика 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предмета (курса)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                                     среднее общее ____________ __________________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год______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</w:t>
      </w:r>
    </w:p>
    <w:p w:rsidR="007734E8" w:rsidRPr="007734E8" w:rsidRDefault="007734E8" w:rsidP="007734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с</w:t>
      </w:r>
      <w:r w:rsidRPr="007734E8">
        <w:rPr>
          <w:rFonts w:ascii="Arial-BoldMT" w:hAnsi="Arial-BoldMT" w:cs="Arial-BoldMT"/>
          <w:bCs/>
        </w:rPr>
        <w:t>реднего (полного) общего образования</w:t>
      </w:r>
    </w:p>
    <w:p w:rsidR="00007990" w:rsidRPr="007734E8" w:rsidRDefault="007734E8" w:rsidP="007734E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-BoldMT" w:hAnsi="Arial-BoldMT" w:cs="Arial-BoldMT"/>
          <w:bCs/>
          <w:sz w:val="24"/>
          <w:szCs w:val="24"/>
        </w:rPr>
        <w:t>п</w:t>
      </w:r>
      <w:r w:rsidRPr="007734E8">
        <w:rPr>
          <w:rFonts w:ascii="Arial-BoldMT" w:hAnsi="Arial-BoldMT" w:cs="Arial-BoldMT"/>
          <w:bCs/>
          <w:sz w:val="24"/>
          <w:szCs w:val="24"/>
        </w:rPr>
        <w:t>о математике</w:t>
      </w:r>
    </w:p>
    <w:p w:rsidR="00007990" w:rsidRPr="007734E8" w:rsidRDefault="00007990" w:rsidP="007734E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программы)</w:t>
      </w:r>
    </w:p>
    <w:p w:rsidR="00007990" w:rsidRPr="008356A8" w:rsidRDefault="00007990" w:rsidP="0000799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Кашутчик</w:t>
      </w:r>
      <w:proofErr w:type="spellEnd"/>
      <w:r w:rsidRPr="00835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Галина Дмитриевна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учителя, составившего рабочую учебную программу)</w:t>
      </w: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007990" w:rsidRPr="008356A8" w:rsidRDefault="00007990" w:rsidP="00007990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90" w:rsidRPr="008356A8" w:rsidRDefault="00007990" w:rsidP="000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07990" w:rsidRPr="008356A8" w:rsidRDefault="00007990" w:rsidP="00007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A8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07990" w:rsidRPr="008356A8" w:rsidRDefault="00007990" w:rsidP="000079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составлена на основе документов:</w:t>
      </w:r>
    </w:p>
    <w:p w:rsidR="00007990" w:rsidRPr="008356A8" w:rsidRDefault="00007990" w:rsidP="000079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07990" w:rsidRPr="008356A8" w:rsidRDefault="00007990" w:rsidP="0000799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6A8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007990" w:rsidRPr="008356A8" w:rsidRDefault="00007990" w:rsidP="00007990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990" w:rsidRPr="007734E8" w:rsidRDefault="007734E8" w:rsidP="007734E8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73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Федеральный  компонент государственного стандарта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7734E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утверждённый приказом Министерства образования РФ №1089 от 05.03.2004г.</w:t>
      </w:r>
    </w:p>
    <w:p w:rsidR="00007990" w:rsidRPr="007734E8" w:rsidRDefault="007734E8" w:rsidP="007734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34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734E8">
        <w:rPr>
          <w:rFonts w:ascii="Times New Roman" w:hAnsi="Times New Roman"/>
          <w:sz w:val="24"/>
          <w:szCs w:val="24"/>
        </w:rPr>
        <w:t xml:space="preserve"> 3.  </w:t>
      </w:r>
      <w:r w:rsidR="00007990" w:rsidRPr="007734E8">
        <w:rPr>
          <w:rFonts w:ascii="Times New Roman" w:hAnsi="Times New Roman"/>
          <w:sz w:val="24"/>
          <w:szCs w:val="24"/>
        </w:rPr>
        <w:t>Федеральный перечень учебников, рекомендованных  к использованию при реализации имеющих  государственную аккредитацию образовательных программ начального общего,  основного общего, среднего общего образования, утвержденный приказом  Министерства просвещения России от 28 декабря 2018 года №345 «О Федеральном перечне учебников, рекомендованных к использованию при реализации имеющих государственную аккредитацию образовательных программ…»</w:t>
      </w:r>
    </w:p>
    <w:p w:rsidR="00007990" w:rsidRPr="008356A8" w:rsidRDefault="00007990" w:rsidP="0000799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990" w:rsidRDefault="00007990" w:rsidP="0000799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6A8">
        <w:rPr>
          <w:rFonts w:ascii="Times New Roman" w:eastAsia="Calibri" w:hAnsi="Times New Roman" w:cs="Times New Roman"/>
          <w:sz w:val="24"/>
          <w:szCs w:val="24"/>
        </w:rPr>
        <w:t xml:space="preserve">            4. Письмо Министерства образования и науки РФ от 01.04.2005г. № 03-417 «О перечне учебного и компьютерного оборудования для оснащения образовательных учреждений.</w:t>
      </w:r>
    </w:p>
    <w:p w:rsidR="007734E8" w:rsidRPr="008356A8" w:rsidRDefault="007734E8" w:rsidP="0000799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990" w:rsidRDefault="00007990" w:rsidP="0000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 Учебный план МБОУ «Новомитропольская средняя школа»  </w:t>
      </w:r>
    </w:p>
    <w:p w:rsidR="007734E8" w:rsidRPr="008356A8" w:rsidRDefault="007734E8" w:rsidP="0000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E8" w:rsidRPr="007734E8" w:rsidRDefault="00007990" w:rsidP="0077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 Примерной программы </w:t>
      </w:r>
      <w:r w:rsidR="0077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4E8">
        <w:rPr>
          <w:rFonts w:ascii="Arial-BoldMT" w:hAnsi="Arial-BoldMT" w:cs="Arial-BoldMT"/>
          <w:b/>
          <w:bCs/>
        </w:rPr>
        <w:t xml:space="preserve">  </w:t>
      </w:r>
      <w:r w:rsidR="007734E8" w:rsidRPr="007734E8">
        <w:rPr>
          <w:rFonts w:ascii="Times New Roman" w:hAnsi="Times New Roman" w:cs="Times New Roman"/>
          <w:bCs/>
          <w:sz w:val="24"/>
          <w:szCs w:val="24"/>
        </w:rPr>
        <w:t>среднего (полного) общего образования</w:t>
      </w:r>
    </w:p>
    <w:p w:rsidR="00007990" w:rsidRPr="007734E8" w:rsidRDefault="007734E8" w:rsidP="0077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734E8">
        <w:rPr>
          <w:rFonts w:ascii="Times New Roman" w:hAnsi="Times New Roman" w:cs="Times New Roman"/>
          <w:bCs/>
          <w:sz w:val="24"/>
          <w:szCs w:val="24"/>
        </w:rPr>
        <w:t>о математике</w:t>
      </w:r>
    </w:p>
    <w:p w:rsidR="00007990" w:rsidRPr="008356A8" w:rsidRDefault="00007990" w:rsidP="008356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079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Главная цель предлагаемой программы заключается не только в подготовке к вступительному экзамену, и в овладении определённым объём знаний, готовых методов решения нестандартных задач, но и в том, чтобы научить </w:t>
      </w:r>
      <w:proofErr w:type="gramStart"/>
      <w:r w:rsidRPr="000079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</w:t>
      </w:r>
      <w:proofErr w:type="gramEnd"/>
      <w:r w:rsidRPr="000079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мыслить, творчески подходить к любой проблеме. </w:t>
      </w: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и создаётся программа элективного курса по математике.</w:t>
      </w:r>
      <w:r w:rsid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"</w:t>
      </w: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математика" рассчитан на 17 часов</w:t>
      </w: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11 классов. Данная программа курса сможет привлечь внимание учащихся, которым интересна математика, кому она понадобится при учебе, подготовке к экзаменам, в частности, к ЕГЭ. Слушателями этого курса могут быть учащиеся различного профиля обучения.</w:t>
      </w:r>
    </w:p>
    <w:p w:rsidR="00007990" w:rsidRPr="00007990" w:rsidRDefault="00007990" w:rsidP="008356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имеет прикладное и общеобразовательное значение, способствует развитию логического мышления учащихся, систематизации знаний при подготовке к выпускным экзаменам. Используются различные формы организации занятий, такие как лекция и семинар, групповая, индивидуальная деятельность учащихся. Результатом предложенного курса должна быть успешная сдача ЕГЭ и централизованного тестирования.</w:t>
      </w:r>
    </w:p>
    <w:p w:rsidR="00007990" w:rsidRPr="00007990" w:rsidRDefault="00007990" w:rsidP="008356A8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курса:</w:t>
      </w:r>
    </w:p>
    <w:p w:rsidR="00007990" w:rsidRPr="00007990" w:rsidRDefault="00007990" w:rsidP="00007990">
      <w:pPr>
        <w:widowControl w:val="0"/>
        <w:numPr>
          <w:ilvl w:val="0"/>
          <w:numId w:val="2"/>
        </w:numPr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основе коррекции базовых математических знаний учащихся за курс 5 – 11 классов совершенствовать математическую культуру и творческие способности учащихся. Расширение и углубление знаний, полученных при изучении курса алгебры.</w:t>
      </w:r>
    </w:p>
    <w:p w:rsidR="00007990" w:rsidRPr="00007990" w:rsidRDefault="00007990" w:rsidP="000079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8356A8" w:rsidRPr="0042487E" w:rsidRDefault="00007990" w:rsidP="00007990">
      <w:pPr>
        <w:widowControl w:val="0"/>
        <w:numPr>
          <w:ilvl w:val="0"/>
          <w:numId w:val="2"/>
        </w:numPr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 развития  у обучающихся навыков анализа и систематизации, полученных ранее знаний; подготовка к итоговой аттестации в форме ЕГЭ.</w:t>
      </w:r>
    </w:p>
    <w:p w:rsidR="00007990" w:rsidRPr="00007990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курса: </w:t>
      </w:r>
    </w:p>
    <w:p w:rsidR="00007990" w:rsidRPr="00007990" w:rsidRDefault="00007990" w:rsidP="00007990">
      <w:pPr>
        <w:widowControl w:val="0"/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индивидуализации обучения; удовлетворение образовательных потребностей школьников по алгебре. Формирование устойчивого интереса учащихся к предмету.</w:t>
      </w:r>
    </w:p>
    <w:p w:rsidR="00007990" w:rsidRPr="00007990" w:rsidRDefault="00007990" w:rsidP="000079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их математических способностей.</w:t>
      </w:r>
    </w:p>
    <w:p w:rsidR="00007990" w:rsidRPr="00007990" w:rsidRDefault="00007990" w:rsidP="0000799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в ВУЗе.</w:t>
      </w:r>
    </w:p>
    <w:p w:rsidR="00007990" w:rsidRPr="00007990" w:rsidRDefault="00007990" w:rsidP="00007990">
      <w:pPr>
        <w:widowControl w:val="0"/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усвоения обучающимися наиболее общих приемов и способов решения задач. Развитие умений самостоятельно анализировать  и решать задачи по образцу и в незнакомой ситуации;</w:t>
      </w:r>
    </w:p>
    <w:p w:rsidR="00007990" w:rsidRPr="00007990" w:rsidRDefault="00007990" w:rsidP="00007990">
      <w:pPr>
        <w:widowControl w:val="0"/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 аналитического и  логического мышления.</w:t>
      </w:r>
    </w:p>
    <w:p w:rsidR="00007990" w:rsidRPr="00007990" w:rsidRDefault="00007990" w:rsidP="00007990">
      <w:pPr>
        <w:widowControl w:val="0"/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математического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007990" w:rsidRPr="009C58EE" w:rsidRDefault="00007990" w:rsidP="008356A8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 и </w:t>
      </w:r>
      <w:proofErr w:type="spellStart"/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навыков работы в группе, самостоятельной работы, умений вести дискуссию, аргументировать ответы и т.д.     </w:t>
      </w:r>
    </w:p>
    <w:p w:rsidR="00007990" w:rsidRPr="00007990" w:rsidRDefault="00007990" w:rsidP="008356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на занятиях:</w:t>
      </w:r>
    </w:p>
    <w:p w:rsidR="008356A8" w:rsidRDefault="00007990" w:rsidP="008356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учителя, беседа, практикум,  </w:t>
      </w: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консультация,  ИКТ технологии, </w:t>
      </w:r>
    </w:p>
    <w:p w:rsidR="009C5306" w:rsidRPr="00007990" w:rsidRDefault="009C5306" w:rsidP="008356A8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уровня достижений учащихся и критерии оценки</w:t>
      </w:r>
    </w:p>
    <w:p w:rsidR="009C5306" w:rsidRPr="00007990" w:rsidRDefault="009C5306" w:rsidP="008356A8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контроль: итоговый тест.</w:t>
      </w:r>
    </w:p>
    <w:p w:rsidR="00007990" w:rsidRPr="00007990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курса: </w:t>
      </w:r>
    </w:p>
    <w:p w:rsidR="00007990" w:rsidRPr="00007990" w:rsidRDefault="00007990" w:rsidP="00007990">
      <w:pPr>
        <w:widowControl w:val="0"/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Краткость изучения материала. </w:t>
      </w:r>
    </w:p>
    <w:p w:rsidR="00007990" w:rsidRPr="00007990" w:rsidRDefault="00007990" w:rsidP="00007990">
      <w:pPr>
        <w:widowControl w:val="0"/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значимость. </w:t>
      </w:r>
    </w:p>
    <w:p w:rsidR="00007990" w:rsidRPr="00007990" w:rsidRDefault="00007990" w:rsidP="00007990">
      <w:pPr>
        <w:widowControl w:val="0"/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Нетрадиционные формы изучения материала. </w:t>
      </w:r>
    </w:p>
    <w:p w:rsidR="00007990" w:rsidRPr="00007990" w:rsidRDefault="00007990" w:rsidP="0000799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Умения и навыки учащихся, формируемые элективным курсом: </w:t>
      </w:r>
    </w:p>
    <w:p w:rsidR="00007990" w:rsidRPr="00007990" w:rsidRDefault="00007990" w:rsidP="0000799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 самостоятельной работы с таблицами и справочной литературой; </w:t>
      </w:r>
    </w:p>
    <w:p w:rsidR="00007990" w:rsidRPr="00007990" w:rsidRDefault="00007990" w:rsidP="0000799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алгоритмов решения типичных задач; </w:t>
      </w:r>
    </w:p>
    <w:p w:rsidR="00007990" w:rsidRPr="00007990" w:rsidRDefault="00007990" w:rsidP="0000799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решения тригонометрических, показательных и логарифмических уравнений и неравенств; </w:t>
      </w:r>
    </w:p>
    <w:p w:rsidR="00007990" w:rsidRPr="00007990" w:rsidRDefault="00007990" w:rsidP="00007990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элементарных функций решения задач различных типов. </w:t>
      </w:r>
    </w:p>
    <w:p w:rsidR="00007990" w:rsidRPr="00007990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Default="008356A8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8EE" w:rsidRDefault="009C58EE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87E" w:rsidRDefault="0042487E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87E" w:rsidRDefault="0042487E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90" w:rsidRPr="00007990" w:rsidRDefault="00007990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007990" w:rsidRPr="00007990" w:rsidRDefault="00007990" w:rsidP="00007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007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6"/>
        <w:gridCol w:w="5551"/>
        <w:gridCol w:w="1134"/>
        <w:gridCol w:w="1276"/>
        <w:gridCol w:w="1276"/>
      </w:tblGrid>
      <w:tr w:rsidR="00007990" w:rsidRPr="00007990" w:rsidTr="009C5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007990" w:rsidRDefault="00007990" w:rsidP="000079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07990" w:rsidRPr="00007990" w:rsidTr="009C5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06" w:rsidRPr="00007990" w:rsidRDefault="009C5306" w:rsidP="009C5306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Текстовые задачи </w:t>
            </w:r>
            <w:r w:rsidRPr="00835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007990" w:rsidRDefault="009C5306" w:rsidP="000079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6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9C58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90" w:rsidRPr="00007990" w:rsidTr="009C5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06" w:rsidRPr="00007990" w:rsidRDefault="009C5306" w:rsidP="009C5306">
            <w:pPr>
              <w:widowControl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Планиметрические задачи</w:t>
            </w:r>
            <w:r w:rsidRPr="00007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35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7990" w:rsidRPr="00007990" w:rsidRDefault="00007990" w:rsidP="00007990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007990" w:rsidRDefault="009C5306" w:rsidP="0000799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6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9C58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90" w:rsidRPr="00007990" w:rsidTr="009C5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007990" w:rsidRDefault="009C5306" w:rsidP="00007990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Стереометрические задачи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007990" w:rsidRDefault="009C5306" w:rsidP="0000799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6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9C58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90" w:rsidRPr="00007990" w:rsidTr="009C5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007990" w:rsidRDefault="009C5306" w:rsidP="00097031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Типовые задания </w:t>
            </w:r>
            <w:r w:rsidR="0009703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E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</w:t>
            </w:r>
            <w:proofErr w:type="gramStart"/>
            <w:r w:rsidR="00890EB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007990" w:rsidRDefault="00890EB8" w:rsidP="0000799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9C58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990" w:rsidRPr="00007990" w:rsidTr="009C5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007990" w:rsidRDefault="00890EB8" w:rsidP="00007990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9C58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90" w:rsidRPr="00007990" w:rsidRDefault="00007990" w:rsidP="000079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5306" w:rsidRPr="008356A8" w:rsidRDefault="009C5306" w:rsidP="008356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5306" w:rsidRPr="008356A8" w:rsidRDefault="009C5306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007990" w:rsidRDefault="00007990" w:rsidP="0000799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0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007990" w:rsidRPr="00007990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90" w:rsidRPr="00007990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Текстовые задачи </w:t>
      </w:r>
      <w:r w:rsidR="009C5306" w:rsidRPr="0083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и общие подходы к решению текстовых задач. Простейшие текстовые задачи. Основные свойства прямо и обратно пропорциональные величины. </w:t>
      </w:r>
      <w:hyperlink r:id="rId6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Проценты, округление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 избытком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округление с недостатком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Выбор оптимального варианта.  </w:t>
      </w:r>
      <w:hyperlink r:id="rId9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Выбор варианта из двух возможных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Выбор варианта из трех возможных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Выбор варианта из четырех возможных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Текстовые задачи на проценты, сплавы и смеси,  на движение,  на совместную работу. </w:t>
      </w:r>
    </w:p>
    <w:p w:rsidR="00007990" w:rsidRPr="00007990" w:rsidRDefault="009C5306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Планиметрические задачи</w:t>
      </w:r>
      <w:r w:rsidR="00007990" w:rsidRPr="0000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3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Треугольник. Параллелограмм, прямоугольник, ромб, квадрат. Трапеция. Окружность и круг.  Окружность, вписанная в треугольник, и окружность, описанная около треугольника.  Многоугольник. Сумма углов выпуклого многоугольника. Правильные многоугольники. Вписанная окружность и описанная окружность правильного многоугольника.  </w:t>
      </w:r>
      <w:hyperlink r:id="rId12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Координатная плоскость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hyperlink r:id="rId13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Векторы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Вычисление длин и площадей.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связанные с углами. </w:t>
      </w:r>
      <w:proofErr w:type="spellStart"/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Многоконфигурационные</w:t>
      </w:r>
      <w:proofErr w:type="spellEnd"/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планиметрические  задачи.</w:t>
      </w:r>
    </w:p>
    <w:p w:rsidR="00007990" w:rsidRPr="00007990" w:rsidRDefault="009C5306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Стереометрические задачи</w:t>
      </w:r>
      <w:r w:rsidR="00007990" w:rsidRPr="00007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3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Призма, ее основания, боковые ребра, высота, боковая поверхность; прямая призма; правильная призма.  Параллелепипед; куб; симметрии в кубе, в параллелепипеде. Пирамида, ее основание, боковые ребра, высота, боковая поверхность; треугольная пирамида; правильная пирамида.  Сечения куба, призмы, пирамиды.  Представление о правильных многогранниках (тетраэдр, куб, октаэдр, додекаэдр и икосаэдр).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угла, градусная мера угла, соответствие между величиной угла и длиной дуги окружности.  Угол между прямыми в пространстве; угол между прямой и плоскостью, угол между плоскостями.  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плоскостями.  </w:t>
      </w:r>
      <w:hyperlink r:id="rId14" w:history="1">
        <w:r w:rsidRPr="008356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Площадь поверхности составного многогранника</w:t>
        </w:r>
      </w:hyperlink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Типовые задания </w:t>
      </w:r>
      <w:r w:rsidR="0009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</w:t>
      </w:r>
      <w:proofErr w:type="gramStart"/>
      <w:r w:rsidR="007E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="009C5306" w:rsidRPr="0083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Тригонометрические уравнения: методы решений и отбор корней.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Арифметический способ. Алгебраический способ. Геометрический способ. Основные методы решения тригонометрических уравнений. Тригонометрические уравнения, линейные относительно простейших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тригонометрических функций. Тригонометрические уравнения, сводящиеся к алгебраическим уравнениям с помощью замены. Метод разложения на множители. Комбинированные уравнения.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Многогранники: типы задач и методы их решения.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Расстояния и углы. </w:t>
      </w: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двумя точками. Расстояние от точки до прямой.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точки до плоскости. Расстояние между скрещивающимися прямыми.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двумя прямыми. Угол между прямой и плоскостью. Угол между плоскостями.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Площади и объемы.</w:t>
      </w: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поверхности многогранника. Площадь сечения многогранника. Объем многогранника.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неравенств с одной переменной.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показательных и логарифмических неравенств.  </w:t>
      </w: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Показательные неравенства. Логарифмические неравенства. Смешанные неравенства. </w:t>
      </w: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Системы неравенств.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Планиметрические задачи с неоднозначностью в условии (многовариантные задачи)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 и параметр. Функции, заданные в явном виде. Применение свойств функции. Функции, заданные в неявном виде. Решение задач разными способами.</w:t>
      </w:r>
    </w:p>
    <w:p w:rsidR="00007990" w:rsidRPr="00007990" w:rsidRDefault="00007990" w:rsidP="0000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на целые числа. Делимость целых чисел.  Десятичная запись числа.  Сравнения. Выражения с числами.  Выражения с переменными.  Методы решения уравнений и неравенств в целых числах.</w:t>
      </w:r>
    </w:p>
    <w:p w:rsidR="00007990" w:rsidRPr="00007990" w:rsidRDefault="009C5306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7990" w:rsidRPr="00007990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007990" w:rsidRDefault="009C5306" w:rsidP="009C53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C5306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Требования к уровню подготовки обучающихся</w:t>
      </w:r>
    </w:p>
    <w:p w:rsidR="00007990" w:rsidRPr="00007990" w:rsidRDefault="00007990" w:rsidP="00007990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занятий имеет целью закрепить у учащихся теоретические знания и развить практические навыки и умения в области алгебры, и успешной сдачи ЕГЭ по математике.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знать, что такое проценты и сложные проценты, основное свойство пропорции. 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схему решения  линейных, квадратных, дробно-рациональных, иррациональных уравнений.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решения систем уравнений.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определение параметра; примеры уравнений с параметром; основные типы задач с параметрами; основные способы решения задач с параметрами. Знать определение линейного уравнения и неравенства с параметрами. Алгоритмы решения линейных уравнений и неравенств с параметрами графическим способом. Определение квадратного уравнения и неравенства с  параметрами. Алгоритмы решения квадратного уравнения и неравенства с параметрами графическим  способом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тождественные преобразования иррациональных, показательных, логарифмических и тригонометрических выражений.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иррациональные, логарифмические и тригонометрические уравнения и неравенства.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уравнений изученными методами.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аппарат математического анализа к решению задач.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основные методы геометрии (проектирования, преобразований, векторный, координатный) к решению геометрических задач. </w:t>
      </w:r>
    </w:p>
    <w:p w:rsidR="00007990" w:rsidRPr="00007990" w:rsidRDefault="00007990" w:rsidP="0000799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вышеуказанные знания на практике.</w:t>
      </w:r>
    </w:p>
    <w:p w:rsidR="00007990" w:rsidRPr="00007990" w:rsidRDefault="00007990" w:rsidP="008356A8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данного курса дает учащимся возможность: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 и систематизировать ранее изученный  материал школьного курса математики;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освоить основные приемы решения задач;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навыками построения и анализа предполагаемого решения поставленной задачи;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овладеть и пользоваться на практике  техникой сдачи теста;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познакомиться и использовать на практике нестандартные методы решения задач;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своей математической культуры, творческого развития, познавательной активности;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познакомиться с возможностями использования электронных средств обучения, в том числе Интернет-ресурсов,  в ходе  подготовки к итоговой аттестации в форме ЕГЭ. </w:t>
      </w:r>
    </w:p>
    <w:p w:rsidR="00007990" w:rsidRPr="00007990" w:rsidRDefault="00007990" w:rsidP="00007990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90" w:rsidRPr="00007990" w:rsidRDefault="00007990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90" w:rsidRPr="00007990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90" w:rsidRPr="00007990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Pr="008356A8" w:rsidRDefault="00007990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8356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8356A8" w:rsidRPr="008356A8" w:rsidRDefault="008356A8" w:rsidP="008356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6A8" w:rsidRPr="008356A8" w:rsidRDefault="008356A8" w:rsidP="00835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отметкой «5», если: </w:t>
      </w:r>
    </w:p>
    <w:p w:rsidR="008356A8" w:rsidRPr="008356A8" w:rsidRDefault="008356A8" w:rsidP="008356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8356A8" w:rsidRPr="008356A8" w:rsidRDefault="008356A8" w:rsidP="008356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8356A8" w:rsidRPr="008356A8" w:rsidRDefault="008356A8" w:rsidP="008356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356A8" w:rsidRPr="008356A8" w:rsidRDefault="008356A8" w:rsidP="00835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 в следующих случаях:</w:t>
      </w:r>
    </w:p>
    <w:p w:rsidR="008356A8" w:rsidRPr="008356A8" w:rsidRDefault="008356A8" w:rsidP="008356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356A8" w:rsidRPr="008356A8" w:rsidRDefault="008356A8" w:rsidP="008356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356A8" w:rsidRPr="008356A8" w:rsidRDefault="008356A8" w:rsidP="00835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8356A8" w:rsidRPr="008356A8" w:rsidRDefault="008356A8" w:rsidP="008356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356A8" w:rsidRPr="008356A8" w:rsidRDefault="008356A8" w:rsidP="00835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если:</w:t>
      </w:r>
    </w:p>
    <w:p w:rsidR="008356A8" w:rsidRPr="008356A8" w:rsidRDefault="008356A8" w:rsidP="008356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356A8" w:rsidRPr="008356A8" w:rsidRDefault="008356A8" w:rsidP="008356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6A8" w:rsidRPr="008356A8" w:rsidRDefault="008356A8" w:rsidP="008356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A8" w:rsidRPr="008356A8" w:rsidRDefault="008356A8" w:rsidP="008356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A8" w:rsidRPr="008356A8" w:rsidRDefault="008356A8" w:rsidP="008356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A8" w:rsidRPr="008356A8" w:rsidRDefault="008356A8" w:rsidP="008356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A8" w:rsidRPr="008356A8" w:rsidRDefault="008356A8" w:rsidP="008356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A8" w:rsidRPr="008356A8" w:rsidRDefault="008356A8" w:rsidP="008356A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Default="008356A8" w:rsidP="008356A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56A8" w:rsidRDefault="008356A8" w:rsidP="008356A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56A8" w:rsidRDefault="008356A8" w:rsidP="008356A8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56A8" w:rsidRPr="008356A8" w:rsidRDefault="008356A8" w:rsidP="008356A8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Перечень учебно – методических средств обучения</w:t>
      </w:r>
    </w:p>
    <w:p w:rsidR="008356A8" w:rsidRPr="008356A8" w:rsidRDefault="008356A8" w:rsidP="008356A8">
      <w:p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А.Г.Мордкович</w:t>
      </w:r>
      <w:proofErr w:type="spellEnd"/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>. Алгебра и начала математического  анализа.10- 11  класс. Часть 1. Учебник. Мнемозина. Москва 2014</w:t>
      </w:r>
    </w:p>
    <w:p w:rsidR="008356A8" w:rsidRPr="008356A8" w:rsidRDefault="008356A8" w:rsidP="008356A8">
      <w:p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А. Г. Мордкович. Алгебра и начала математического анализа.10- 11 класс. Часть 2. Задачник. Мнемозина. Москва 2014  </w:t>
      </w:r>
    </w:p>
    <w:p w:rsidR="008356A8" w:rsidRPr="008356A8" w:rsidRDefault="008356A8" w:rsidP="008356A8">
      <w:p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Л.С. </w:t>
      </w: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В.Ф. Бутузов, С.Б. Кадомцев, Л.С. Киселёва, </w:t>
      </w: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>Э.Г.Позняк</w:t>
      </w:r>
      <w:proofErr w:type="spellEnd"/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Геометрия 10-11 класс.  Москва. Просвещение 2014. </w:t>
      </w:r>
    </w:p>
    <w:p w:rsidR="008356A8" w:rsidRPr="008356A8" w:rsidRDefault="008356A8" w:rsidP="00835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Математика. Теория вероятностей. Подготовка к </w:t>
      </w: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ЕГЭ.Под</w:t>
      </w:r>
      <w:proofErr w:type="spellEnd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Ф, Ф, Лысенко, С. Ю, </w:t>
      </w: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356A8" w:rsidRPr="008356A8" w:rsidRDefault="008356A8" w:rsidP="008356A8">
      <w:pPr>
        <w:spacing w:after="0"/>
        <w:ind w:right="-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Лаппо, Л.Д. ЕГЭ 2011. Математика. Практикум по выполнению типовых тестовых заданий ЕГЭ/</w:t>
      </w:r>
      <w:proofErr w:type="spellStart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Л.Д.Лаппо</w:t>
      </w:r>
      <w:proofErr w:type="spellEnd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Попов. – М.: Издательство «Экзамен», 2013. </w:t>
      </w:r>
    </w:p>
    <w:p w:rsidR="008356A8" w:rsidRPr="008356A8" w:rsidRDefault="008356A8" w:rsidP="00835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356A8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6.</w:t>
      </w:r>
      <w:r w:rsidRPr="00835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ЕГЭ 2011. Математика. Типовые тестовые задания под ред. А.Л. </w:t>
      </w:r>
      <w:proofErr w:type="spellStart"/>
      <w:r w:rsidRPr="008356A8">
        <w:rPr>
          <w:rFonts w:ascii="Times New Roman" w:eastAsia="Calibri" w:hAnsi="Times New Roman" w:cs="Times New Roman"/>
          <w:sz w:val="24"/>
          <w:szCs w:val="24"/>
          <w:lang w:bidi="en-US"/>
        </w:rPr>
        <w:t>Семёнова</w:t>
      </w:r>
      <w:proofErr w:type="spellEnd"/>
      <w:r w:rsidRPr="00835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И.В. Ященко. – М.: Издательство «Экзамен», 2013. </w:t>
      </w:r>
    </w:p>
    <w:p w:rsidR="008356A8" w:rsidRPr="008356A8" w:rsidRDefault="008356A8" w:rsidP="00835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356A8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7</w:t>
      </w:r>
      <w:r w:rsidRPr="00835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ЕГЭ – 2011. Математика: типовые экзаменационные варианты: 30 вариантов/под ред. </w:t>
      </w:r>
      <w:proofErr w:type="spellStart"/>
      <w:r w:rsidRPr="008356A8">
        <w:rPr>
          <w:rFonts w:ascii="Times New Roman" w:eastAsia="Calibri" w:hAnsi="Times New Roman" w:cs="Times New Roman"/>
          <w:sz w:val="24"/>
          <w:szCs w:val="24"/>
          <w:lang w:bidi="en-US"/>
        </w:rPr>
        <w:t>А.Л.Семёнова</w:t>
      </w:r>
      <w:proofErr w:type="spellEnd"/>
      <w:r w:rsidRPr="008356A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И.В. Ященко. – М.: Национальное образование, 2013. </w:t>
      </w:r>
    </w:p>
    <w:p w:rsidR="008356A8" w:rsidRPr="008356A8" w:rsidRDefault="008356A8" w:rsidP="00835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356A8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8.</w:t>
      </w:r>
      <w:r w:rsidRPr="008356A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8356A8">
        <w:rPr>
          <w:rFonts w:ascii="Times New Roman" w:eastAsia="Calibri" w:hAnsi="Times New Roman" w:cs="Times New Roman"/>
          <w:sz w:val="24"/>
          <w:szCs w:val="24"/>
          <w:lang w:bidi="en-US"/>
        </w:rPr>
        <w:t>ЕГЭ: 3000 задач с ответами по математике. Все задания группы В/ А.Л. Семёнов, И.В. Ященко и др. – М.: Издательство «Экзамен», 2013</w:t>
      </w:r>
    </w:p>
    <w:p w:rsidR="008356A8" w:rsidRPr="008356A8" w:rsidRDefault="008356A8" w:rsidP="008356A8">
      <w:pPr>
        <w:tabs>
          <w:tab w:val="left" w:pos="10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обучения:</w:t>
      </w:r>
      <w:proofErr w:type="gramStart"/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Pr="0083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8356A8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.Мультимедиа. Интерактивная доска. Набор линеек. Комплекты плакатов (таблиц)</w:t>
      </w: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источники:</w:t>
      </w:r>
    </w:p>
    <w:p w:rsidR="008356A8" w:rsidRPr="008356A8" w:rsidRDefault="008356A8" w:rsidP="008356A8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банк задач ЕГЭ: </w:t>
      </w:r>
      <w:hyperlink r:id="rId15" w:history="1">
        <w:r w:rsidRPr="008356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http://mathege.ru</w:t>
        </w:r>
      </w:hyperlink>
    </w:p>
    <w:p w:rsidR="008356A8" w:rsidRPr="008356A8" w:rsidRDefault="008356A8" w:rsidP="008356A8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тесты:</w:t>
      </w:r>
    </w:p>
    <w:p w:rsidR="008356A8" w:rsidRPr="008356A8" w:rsidRDefault="008F4062" w:rsidP="008356A8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8356A8" w:rsidRPr="008356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http://uztest.ru/exam?idexam=25</w:t>
        </w:r>
      </w:hyperlink>
    </w:p>
    <w:p w:rsidR="008356A8" w:rsidRPr="008356A8" w:rsidRDefault="008356A8" w:rsidP="008356A8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8356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http://egeru.ru</w:t>
        </w:r>
      </w:hyperlink>
    </w:p>
    <w:p w:rsidR="008356A8" w:rsidRPr="008356A8" w:rsidRDefault="008356A8" w:rsidP="008356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hyperlink r:id="rId18" w:history="1">
        <w:r w:rsidRPr="008356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http://reshuege.ru/</w:t>
        </w:r>
      </w:hyperlink>
    </w:p>
    <w:p w:rsidR="008356A8" w:rsidRPr="008356A8" w:rsidRDefault="008356A8" w:rsidP="008356A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 ФИПИ  </w:t>
      </w:r>
      <w:hyperlink r:id="rId19" w:history="1">
        <w:r w:rsidRPr="008356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http://fipi.ru/</w:t>
        </w:r>
      </w:hyperlink>
    </w:p>
    <w:p w:rsidR="008356A8" w:rsidRPr="008356A8" w:rsidRDefault="008356A8" w:rsidP="008356A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6. МИОО http://www.mioo.ru/ogl.php#</w:t>
      </w:r>
    </w:p>
    <w:p w:rsidR="008356A8" w:rsidRPr="008356A8" w:rsidRDefault="008356A8" w:rsidP="008356A8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7. http://shpargalkaege.ru/</w:t>
      </w: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56A8" w:rsidRPr="008356A8" w:rsidRDefault="008356A8" w:rsidP="008356A8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8356A8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6A8" w:rsidRPr="00007990" w:rsidRDefault="008356A8" w:rsidP="00007990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990" w:rsidRDefault="00007990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Default="00E6039F" w:rsidP="0000799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39F" w:rsidRPr="008356A8" w:rsidRDefault="00E6039F" w:rsidP="00CB6908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78" w:rsidRPr="00CB6908" w:rsidRDefault="00970978" w:rsidP="00CB690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70978" w:rsidRPr="00CB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E3C"/>
    <w:multiLevelType w:val="hybridMultilevel"/>
    <w:tmpl w:val="C448A640"/>
    <w:lvl w:ilvl="0" w:tplc="EA7EAA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115E1"/>
    <w:multiLevelType w:val="hybridMultilevel"/>
    <w:tmpl w:val="0C30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675A2"/>
    <w:multiLevelType w:val="hybridMultilevel"/>
    <w:tmpl w:val="38B03794"/>
    <w:lvl w:ilvl="0" w:tplc="73E8EF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84A02"/>
    <w:multiLevelType w:val="multilevel"/>
    <w:tmpl w:val="F4F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9226A"/>
    <w:multiLevelType w:val="hybridMultilevel"/>
    <w:tmpl w:val="13D061D6"/>
    <w:lvl w:ilvl="0" w:tplc="CB0C339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EB2F93"/>
    <w:multiLevelType w:val="multilevel"/>
    <w:tmpl w:val="5FC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E4"/>
    <w:rsid w:val="00007990"/>
    <w:rsid w:val="00097031"/>
    <w:rsid w:val="002605A0"/>
    <w:rsid w:val="0038488E"/>
    <w:rsid w:val="0042487E"/>
    <w:rsid w:val="007521E4"/>
    <w:rsid w:val="007734E8"/>
    <w:rsid w:val="007D2E6B"/>
    <w:rsid w:val="007E3467"/>
    <w:rsid w:val="008356A8"/>
    <w:rsid w:val="00890EB8"/>
    <w:rsid w:val="008A207D"/>
    <w:rsid w:val="008F4062"/>
    <w:rsid w:val="00970978"/>
    <w:rsid w:val="009C5306"/>
    <w:rsid w:val="009C58EE"/>
    <w:rsid w:val="00B745C0"/>
    <w:rsid w:val="00CB6908"/>
    <w:rsid w:val="00CC5E90"/>
    <w:rsid w:val="00E6039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9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0079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9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0079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test?theme=1" TargetMode="External"/><Relationship Id="rId13" Type="http://schemas.openxmlformats.org/officeDocument/2006/relationships/hyperlink" Target="http://reshuege.ru/test?theme=182" TargetMode="External"/><Relationship Id="rId18" Type="http://schemas.openxmlformats.org/officeDocument/2006/relationships/hyperlink" Target="http://reshueg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eshuege.ru/test?theme=2" TargetMode="External"/><Relationship Id="rId12" Type="http://schemas.openxmlformats.org/officeDocument/2006/relationships/hyperlink" Target="http://reshuege.ru/test?theme=181" TargetMode="External"/><Relationship Id="rId17" Type="http://schemas.openxmlformats.org/officeDocument/2006/relationships/hyperlink" Target="http://eger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ztest.ru/exam?idexam=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shuege.ru/test?theme=5" TargetMode="External"/><Relationship Id="rId11" Type="http://schemas.openxmlformats.org/officeDocument/2006/relationships/hyperlink" Target="http://reshuege.ru/test?theme=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ege.ru" TargetMode="External"/><Relationship Id="rId10" Type="http://schemas.openxmlformats.org/officeDocument/2006/relationships/hyperlink" Target="http://reshuege.ru/test?theme=53" TargetMode="External"/><Relationship Id="rId19" Type="http://schemas.openxmlformats.org/officeDocument/2006/relationships/hyperlink" Target="http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uege.ru/test?theme=54" TargetMode="External"/><Relationship Id="rId14" Type="http://schemas.openxmlformats.org/officeDocument/2006/relationships/hyperlink" Target="http://reshuege.ru/test?theme=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16</cp:revision>
  <cp:lastPrinted>2019-09-13T07:11:00Z</cp:lastPrinted>
  <dcterms:created xsi:type="dcterms:W3CDTF">2019-06-21T02:05:00Z</dcterms:created>
  <dcterms:modified xsi:type="dcterms:W3CDTF">2021-01-15T07:46:00Z</dcterms:modified>
</cp:coreProperties>
</file>