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524A66" w:rsidP="00D2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6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учебной программе курса </w:t>
      </w:r>
    </w:p>
    <w:p w:rsidR="00524A66" w:rsidRPr="00524A66" w:rsidRDefault="00524A66" w:rsidP="00D24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66">
        <w:rPr>
          <w:rFonts w:ascii="Times New Roman" w:hAnsi="Times New Roman" w:cs="Times New Roman"/>
          <w:b/>
          <w:sz w:val="24"/>
          <w:szCs w:val="24"/>
        </w:rPr>
        <w:t>История</w:t>
      </w:r>
      <w:r w:rsidR="00D24F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4A66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24A66" w:rsidRDefault="00D24F12" w:rsidP="00D24F12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История включен в </w:t>
      </w:r>
      <w:r w:rsidR="00D417B3">
        <w:rPr>
          <w:rFonts w:ascii="Times New Roman" w:eastAsia="Times New Roman" w:hAnsi="Times New Roman" w:cs="Times New Roman"/>
          <w:sz w:val="24"/>
          <w:szCs w:val="24"/>
        </w:rPr>
        <w:t xml:space="preserve">базовые общеобразовательные учебные предметы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школы. </w:t>
      </w:r>
      <w:r w:rsidR="00524A66" w:rsidRPr="00DC387D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</w:t>
      </w:r>
      <w:r w:rsidR="00524A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4A66" w:rsidRPr="00DC387D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="00524A66">
        <w:rPr>
          <w:rFonts w:ascii="Times New Roman" w:eastAsia="Times New Roman" w:hAnsi="Times New Roman" w:cs="Times New Roman"/>
          <w:sz w:val="24"/>
          <w:szCs w:val="24"/>
        </w:rPr>
        <w:t xml:space="preserve">ого) общего образования базовый уровень по истории. </w:t>
      </w:r>
      <w:r w:rsidR="00524A66" w:rsidRPr="00DC387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Рабочая программа предусматривает следующие формы </w:t>
      </w:r>
      <w:r w:rsidR="00524A66">
        <w:rPr>
          <w:rFonts w:ascii="Times New Roman" w:eastAsia="Times New Roman" w:hAnsi="Times New Roman" w:cs="Times New Roman"/>
          <w:sz w:val="24"/>
          <w:szCs w:val="24"/>
        </w:rPr>
        <w:t>проверки знаний учащихся</w:t>
      </w:r>
      <w:r w:rsidR="00524A66" w:rsidRPr="00DC387D">
        <w:rPr>
          <w:rFonts w:ascii="Times New Roman" w:eastAsia="Times New Roman" w:hAnsi="Times New Roman" w:cs="Times New Roman"/>
          <w:sz w:val="24"/>
          <w:szCs w:val="24"/>
        </w:rPr>
        <w:t>: контрольные работы, тестирование, обобщающие уроки.</w:t>
      </w:r>
    </w:p>
    <w:p w:rsidR="00D24F12" w:rsidRPr="00DC387D" w:rsidRDefault="00D24F12" w:rsidP="00D2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учебников:</w:t>
      </w:r>
    </w:p>
    <w:p w:rsidR="00D24F12" w:rsidRPr="001B68F3" w:rsidRDefault="00D24F12" w:rsidP="00D24F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87D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 Н.В., Симония Н.А. Всеобщая история с древнейших времен до конца </w:t>
      </w:r>
      <w:r w:rsidRPr="00DC387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 века: Учебник для 10 класса общеобразовательных учреждений. – М.: ООО «Русское слово», 2013.</w:t>
      </w:r>
    </w:p>
    <w:p w:rsidR="00D24F12" w:rsidRDefault="00D24F12" w:rsidP="00D24F1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Сахаров А.Н. 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</w:t>
      </w:r>
      <w:r w:rsidRPr="00DC387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 древнейших времен до конца </w:t>
      </w:r>
      <w:r w:rsidRPr="00DC387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 xml:space="preserve"> века: в двух частях. Учебник для 10 класса общеобразовательных учреждений. – М.: ООО «</w:t>
      </w:r>
      <w:r>
        <w:rPr>
          <w:rFonts w:ascii="Times New Roman" w:eastAsia="Times New Roman" w:hAnsi="Times New Roman" w:cs="Times New Roman"/>
          <w:sz w:val="24"/>
          <w:szCs w:val="24"/>
        </w:rPr>
        <w:t>Русское слово», 2013</w:t>
      </w:r>
      <w:r w:rsidRPr="00DC3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F12" w:rsidRDefault="00D24F12" w:rsidP="00D24F1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83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EB4838">
        <w:rPr>
          <w:rFonts w:ascii="Times New Roman" w:hAnsi="Times New Roman" w:cs="Times New Roman"/>
          <w:sz w:val="24"/>
          <w:szCs w:val="24"/>
        </w:rPr>
        <w:t xml:space="preserve"> Н.В., Симо</w:t>
      </w:r>
      <w:r>
        <w:rPr>
          <w:rFonts w:ascii="Times New Roman" w:hAnsi="Times New Roman" w:cs="Times New Roman"/>
          <w:sz w:val="24"/>
          <w:szCs w:val="24"/>
        </w:rPr>
        <w:t xml:space="preserve">ния Н.А. История России и мира в </w:t>
      </w:r>
      <w:r w:rsidRPr="00EB4838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838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4838">
        <w:rPr>
          <w:rFonts w:ascii="Times New Roman" w:hAnsi="Times New Roman" w:cs="Times New Roman"/>
          <w:sz w:val="24"/>
          <w:szCs w:val="24"/>
        </w:rPr>
        <w:t>: Учебник для 11 класса общеобразовательных учреждений. М.</w:t>
      </w:r>
      <w:r>
        <w:rPr>
          <w:rFonts w:ascii="Times New Roman" w:hAnsi="Times New Roman" w:cs="Times New Roman"/>
          <w:sz w:val="24"/>
          <w:szCs w:val="24"/>
        </w:rPr>
        <w:t>: ООО «ТИД «Русское слово», 2013</w:t>
      </w:r>
      <w:r w:rsidRPr="00EB4838">
        <w:rPr>
          <w:rFonts w:ascii="Times New Roman" w:hAnsi="Times New Roman" w:cs="Times New Roman"/>
          <w:sz w:val="24"/>
          <w:szCs w:val="24"/>
        </w:rPr>
        <w:t>.</w:t>
      </w:r>
    </w:p>
    <w:p w:rsidR="00524A66" w:rsidRPr="00860CA3" w:rsidRDefault="00D24F12" w:rsidP="00860CA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83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EB4838">
        <w:rPr>
          <w:rFonts w:ascii="Times New Roman" w:hAnsi="Times New Roman" w:cs="Times New Roman"/>
          <w:sz w:val="24"/>
          <w:szCs w:val="24"/>
        </w:rPr>
        <w:t xml:space="preserve"> Н.В., Козленко С.И., Минаков С.Т., Петров Ю.А. История Отечества </w:t>
      </w:r>
      <w:r w:rsidRPr="00EB48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483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B483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838">
        <w:rPr>
          <w:rFonts w:ascii="Times New Roman" w:hAnsi="Times New Roman" w:cs="Times New Roman"/>
          <w:sz w:val="24"/>
          <w:szCs w:val="24"/>
        </w:rPr>
        <w:t xml:space="preserve"> века: Учебник для 11 класса общеобразовательных учреждений. М.</w:t>
      </w:r>
      <w:r>
        <w:rPr>
          <w:rFonts w:ascii="Times New Roman" w:hAnsi="Times New Roman" w:cs="Times New Roman"/>
          <w:sz w:val="24"/>
          <w:szCs w:val="24"/>
        </w:rPr>
        <w:t>: ООО «ТИД «Русское слово», 2012</w:t>
      </w:r>
      <w:r w:rsidRPr="00EB4838">
        <w:rPr>
          <w:rFonts w:ascii="Times New Roman" w:hAnsi="Times New Roman" w:cs="Times New Roman"/>
          <w:sz w:val="24"/>
          <w:szCs w:val="24"/>
        </w:rPr>
        <w:t>.</w:t>
      </w:r>
    </w:p>
    <w:p w:rsidR="00524A66" w:rsidRDefault="00524A66" w:rsidP="00524A66">
      <w:pPr>
        <w:widowControl w:val="0"/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в полной средней школе на базовом уровне направлено на достижение следующих целей:</w:t>
      </w:r>
    </w:p>
    <w:p w:rsidR="00524A66" w:rsidRDefault="00524A66" w:rsidP="00524A66">
      <w:pPr>
        <w:widowControl w:val="0"/>
        <w:shd w:val="clear" w:color="auto" w:fill="FFFFFF"/>
        <w:tabs>
          <w:tab w:val="left" w:pos="475"/>
        </w:tabs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гражданственности, развитие мировоззренче</w:t>
      </w:r>
      <w:r>
        <w:rPr>
          <w:rFonts w:ascii="Times New Roman" w:hAnsi="Times New Roman" w:cs="Times New Roman"/>
          <w:sz w:val="24"/>
          <w:szCs w:val="24"/>
        </w:rPr>
        <w:softHyphen/>
        <w:t>ских убеждений учащихся на основе осмысления ими историче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</w:t>
      </w:r>
      <w:r>
        <w:rPr>
          <w:rFonts w:ascii="Times New Roman" w:hAnsi="Times New Roman" w:cs="Times New Roman"/>
          <w:sz w:val="24"/>
          <w:szCs w:val="24"/>
        </w:rPr>
        <w:softHyphen/>
        <w:t>ских доктрин, существующих в современном мире;</w:t>
      </w:r>
    </w:p>
    <w:p w:rsidR="00524A66" w:rsidRDefault="00524A66" w:rsidP="00524A66">
      <w:pPr>
        <w:widowControl w:val="0"/>
        <w:shd w:val="clear" w:color="auto" w:fill="FFFFFF"/>
        <w:tabs>
          <w:tab w:val="left" w:pos="475"/>
        </w:tabs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способности понимать историческую обусло</w:t>
      </w:r>
      <w:r>
        <w:rPr>
          <w:rFonts w:ascii="Times New Roman" w:hAnsi="Times New Roman" w:cs="Times New Roman"/>
          <w:sz w:val="24"/>
          <w:szCs w:val="24"/>
        </w:rPr>
        <w:softHyphen/>
        <w:t>вленность явлений и процессов современного мира, определять собственную позицию по отношению к окружающей реально</w:t>
      </w:r>
      <w:r>
        <w:rPr>
          <w:rFonts w:ascii="Times New Roman" w:hAnsi="Times New Roman" w:cs="Times New Roman"/>
          <w:sz w:val="24"/>
          <w:szCs w:val="24"/>
        </w:rPr>
        <w:softHyphen/>
        <w:t>сти, соотносить свои взгляды и принципы с исторически воз</w:t>
      </w:r>
      <w:r>
        <w:rPr>
          <w:rFonts w:ascii="Times New Roman" w:hAnsi="Times New Roman" w:cs="Times New Roman"/>
          <w:sz w:val="24"/>
          <w:szCs w:val="24"/>
        </w:rPr>
        <w:softHyphen/>
        <w:t>никшими мировоззренческими системами;</w:t>
      </w:r>
    </w:p>
    <w:p w:rsidR="00524A66" w:rsidRDefault="00524A66" w:rsidP="00524A66">
      <w:pPr>
        <w:widowControl w:val="0"/>
        <w:shd w:val="clear" w:color="auto" w:fill="FFFFFF"/>
        <w:tabs>
          <w:tab w:val="left" w:pos="475"/>
        </w:tabs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систематизированных знаний об истории челове</w:t>
      </w:r>
      <w:r>
        <w:rPr>
          <w:rFonts w:ascii="Times New Roman" w:hAnsi="Times New Roman" w:cs="Times New Roman"/>
          <w:sz w:val="24"/>
          <w:szCs w:val="24"/>
        </w:rPr>
        <w:softHyphen/>
        <w:t>чества, формирование целостного представления о месте и роли России во всемирно-историческом развитии;</w:t>
      </w:r>
    </w:p>
    <w:p w:rsidR="00524A66" w:rsidRDefault="00524A66" w:rsidP="00524A66">
      <w:pPr>
        <w:widowControl w:val="0"/>
        <w:shd w:val="clear" w:color="auto" w:fill="FFFFFF"/>
        <w:tabs>
          <w:tab w:val="left" w:pos="475"/>
        </w:tabs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умениями и навыками поиска, систематизации и комплексного анализа исторической информации;</w:t>
      </w:r>
    </w:p>
    <w:p w:rsidR="00524A66" w:rsidRDefault="00524A66" w:rsidP="00524A66">
      <w:pPr>
        <w:widowControl w:val="0"/>
        <w:shd w:val="clear" w:color="auto" w:fill="FFFFFF"/>
        <w:tabs>
          <w:tab w:val="left" w:pos="528"/>
        </w:tabs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24F12" w:rsidRDefault="00860CA3" w:rsidP="00860CA3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учебного предмета.</w:t>
      </w:r>
    </w:p>
    <w:p w:rsidR="00860CA3" w:rsidRPr="00860CA3" w:rsidRDefault="00860CA3" w:rsidP="00860CA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A3">
        <w:rPr>
          <w:rFonts w:ascii="Times New Roman" w:hAnsi="Times New Roman" w:cs="Times New Roman"/>
          <w:sz w:val="24"/>
          <w:szCs w:val="24"/>
        </w:rPr>
        <w:t xml:space="preserve">Всеобщая история. История как наука. </w:t>
      </w:r>
      <w:proofErr w:type="spellStart"/>
      <w:r w:rsidRPr="00860CA3">
        <w:rPr>
          <w:rFonts w:ascii="Times New Roman" w:hAnsi="Times New Roman" w:cs="Times New Roman"/>
          <w:sz w:val="24"/>
          <w:szCs w:val="24"/>
        </w:rPr>
        <w:t>Предцивилизационная</w:t>
      </w:r>
      <w:proofErr w:type="spellEnd"/>
      <w:r w:rsidRPr="00860CA3">
        <w:rPr>
          <w:rFonts w:ascii="Times New Roman" w:hAnsi="Times New Roman" w:cs="Times New Roman"/>
          <w:sz w:val="24"/>
          <w:szCs w:val="24"/>
        </w:rPr>
        <w:t xml:space="preserve"> стадия истории человечества. Цивилизации Древнего мира и Средневековья. Новое время: эпохи модернизации. От Новой к Новейшей истории: поиск путей развития индустриального общества. Человечество на этапе перехода к информационному обществу.</w:t>
      </w:r>
    </w:p>
    <w:p w:rsidR="00D24F12" w:rsidRDefault="00860CA3" w:rsidP="00860CA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A3">
        <w:rPr>
          <w:rFonts w:ascii="Times New Roman" w:hAnsi="Times New Roman" w:cs="Times New Roman"/>
          <w:sz w:val="24"/>
          <w:szCs w:val="24"/>
        </w:rPr>
        <w:t xml:space="preserve">История России. Наше Отечество в древности. Древняя Русь. От Руси к России. Россия в </w:t>
      </w:r>
      <w:r w:rsidRPr="00860CA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60CA3">
        <w:rPr>
          <w:rFonts w:ascii="Times New Roman" w:hAnsi="Times New Roman" w:cs="Times New Roman"/>
          <w:sz w:val="24"/>
          <w:szCs w:val="24"/>
        </w:rPr>
        <w:t xml:space="preserve">  столетии. Россия в </w:t>
      </w:r>
      <w:r w:rsidRPr="00860CA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60CA3">
        <w:rPr>
          <w:rFonts w:ascii="Times New Roman" w:hAnsi="Times New Roman" w:cs="Times New Roman"/>
          <w:sz w:val="24"/>
          <w:szCs w:val="24"/>
        </w:rPr>
        <w:t xml:space="preserve"> столетии. Россия в </w:t>
      </w:r>
      <w:r w:rsidRPr="00860CA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60CA3">
        <w:rPr>
          <w:rFonts w:ascii="Times New Roman" w:hAnsi="Times New Roman" w:cs="Times New Roman"/>
          <w:sz w:val="24"/>
          <w:szCs w:val="24"/>
        </w:rPr>
        <w:t xml:space="preserve"> столетии. Российская империя накануне Первой мировой войны. Россия в годы революций и гражданской войны. Советское государство и общество в 1920-1930 годы. Великая Отечественная война 1941-</w:t>
      </w:r>
      <w:r w:rsidRPr="00860CA3">
        <w:rPr>
          <w:rFonts w:ascii="Times New Roman" w:hAnsi="Times New Roman" w:cs="Times New Roman"/>
          <w:sz w:val="24"/>
          <w:szCs w:val="24"/>
        </w:rPr>
        <w:lastRenderedPageBreak/>
        <w:t xml:space="preserve">1945 годов. СССР в 1945-1964 годы. СССР в годы коллективного руководства. Перестройка и распад СССР. Россия на рубеже </w:t>
      </w:r>
      <w:r w:rsidRPr="00860CA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60CA3">
        <w:rPr>
          <w:rFonts w:ascii="Times New Roman" w:hAnsi="Times New Roman" w:cs="Times New Roman"/>
          <w:sz w:val="24"/>
          <w:szCs w:val="24"/>
        </w:rPr>
        <w:t xml:space="preserve">-  </w:t>
      </w:r>
      <w:r w:rsidRPr="00860CA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60CA3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322288" w:rsidRPr="00322288" w:rsidRDefault="00322288" w:rsidP="003222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Использование в учебном процессе компьютерных технологий, сочетание этих технологий с традиционными методиками. </w:t>
      </w:r>
    </w:p>
    <w:p w:rsidR="00D24F12" w:rsidRPr="00D24F12" w:rsidRDefault="00D24F12" w:rsidP="00D24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F12">
        <w:rPr>
          <w:rFonts w:ascii="Times New Roman" w:eastAsia="Times New Roman" w:hAnsi="Times New Roman" w:cs="Times New Roman"/>
          <w:bCs/>
          <w:sz w:val="24"/>
          <w:szCs w:val="24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D24F12">
        <w:rPr>
          <w:rFonts w:ascii="Times New Roman" w:eastAsia="Times New Roman" w:hAnsi="Times New Roman" w:cs="Times New Roman"/>
          <w:bCs/>
          <w:sz w:val="24"/>
          <w:szCs w:val="24"/>
        </w:rPr>
        <w:t>обучающихся по истории.</w:t>
      </w:r>
    </w:p>
    <w:p w:rsidR="00D24F12" w:rsidRPr="00D24F12" w:rsidRDefault="00D24F12" w:rsidP="00D24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12">
        <w:rPr>
          <w:rFonts w:ascii="Times New Roman" w:eastAsia="Times New Roman" w:hAnsi="Times New Roman" w:cs="Times New Roman"/>
          <w:sz w:val="24"/>
          <w:szCs w:val="24"/>
        </w:rPr>
        <w:t>Ученик должен научиться следующим видам деятельности и умениям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>называть даты важнейших событий, хронологические рамки, периоды значительных событий и процессов; составлять хронологические и синхронистические таблицы; характеризовать периоды в развитии исторических процессов, масштабных событий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>называть место, обстоятельства, участников, результаты важных исторических событий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>читать историч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>ескую карту с опорой на легенду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>; проводить поиск необходимой информации в одном или нескольких источниках; высказывать суждение о назначение, ценности источника; рассказывать устно или письменно об исторических событиях, их участниках на основе текста учебника и иллюстраций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>соотносить единичные ист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>орические факты и общие явления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>; объяснять смысл, значение важнейших исторических понятий; сравнивать исторические события и явления; определять в них общее и различия; раскрывать, чем объясняются различия; излагать суждения о причинно-следственных связях исторических событий; объяснять, в чем состояли мотивы и цели, результаты деятельности отдельных людей в истории.</w:t>
      </w:r>
      <w:r w:rsidR="0086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F12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D24F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компетенциями: информационной, коммуникативной, рефлексивной, познавательной.</w:t>
      </w:r>
    </w:p>
    <w:p w:rsidR="00524A66" w:rsidRPr="0017622D" w:rsidRDefault="00524A66" w:rsidP="00D24F12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F12">
        <w:rPr>
          <w:rFonts w:ascii="Times New Roman" w:hAnsi="Times New Roman" w:cs="Times New Roman"/>
          <w:sz w:val="24"/>
          <w:szCs w:val="24"/>
        </w:rPr>
        <w:t>Основные содержательны</w:t>
      </w:r>
      <w:r>
        <w:rPr>
          <w:rFonts w:ascii="Times New Roman" w:hAnsi="Times New Roman" w:cs="Times New Roman"/>
          <w:sz w:val="24"/>
          <w:szCs w:val="24"/>
        </w:rPr>
        <w:t>е линии примерной программы ба</w:t>
      </w:r>
      <w:r>
        <w:rPr>
          <w:rFonts w:ascii="Times New Roman" w:hAnsi="Times New Roman" w:cs="Times New Roman"/>
          <w:sz w:val="24"/>
          <w:szCs w:val="24"/>
        </w:rPr>
        <w:softHyphen/>
        <w:t>зового уровня исторического образования в полной средней школе реализуются в рамках двух курсов — «Истории России» и «Всеобщей истории». Предполагается их синхронно-парал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лельное изучение с возможностью интеграции некоторых тем из состава обоих курсов.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2406"/>
        <w:gridCol w:w="3111"/>
        <w:gridCol w:w="3077"/>
      </w:tblGrid>
      <w:tr w:rsidR="00524A66" w:rsidRPr="0017622D" w:rsidTr="00D300C3">
        <w:trPr>
          <w:trHeight w:val="301"/>
        </w:trPr>
        <w:tc>
          <w:tcPr>
            <w:tcW w:w="959" w:type="dxa"/>
            <w:vMerge w:val="restart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vMerge w:val="restart"/>
          </w:tcPr>
          <w:p w:rsidR="00524A66" w:rsidRPr="0017622D" w:rsidRDefault="00524A66" w:rsidP="00D24F1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Объем учебного времени</w:t>
            </w:r>
          </w:p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Разделы программы</w:t>
            </w:r>
          </w:p>
        </w:tc>
      </w:tr>
      <w:tr w:rsidR="00524A66" w:rsidRPr="0017622D" w:rsidTr="00D300C3">
        <w:trPr>
          <w:trHeight w:val="201"/>
        </w:trPr>
        <w:tc>
          <w:tcPr>
            <w:tcW w:w="959" w:type="dxa"/>
            <w:vMerge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4A66" w:rsidRPr="0017622D" w:rsidRDefault="00524A66" w:rsidP="00D24F1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084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История России</w:t>
            </w:r>
          </w:p>
        </w:tc>
      </w:tr>
      <w:tr w:rsidR="00524A66" w:rsidRPr="0017622D" w:rsidTr="00D300C3">
        <w:tc>
          <w:tcPr>
            <w:tcW w:w="959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68 ч</w:t>
            </w:r>
            <w:r w:rsidR="00322288">
              <w:rPr>
                <w:sz w:val="24"/>
                <w:szCs w:val="24"/>
              </w:rPr>
              <w:t xml:space="preserve"> (2 часа в неделю)</w:t>
            </w:r>
          </w:p>
        </w:tc>
        <w:tc>
          <w:tcPr>
            <w:tcW w:w="3118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24 ч</w:t>
            </w:r>
          </w:p>
        </w:tc>
        <w:tc>
          <w:tcPr>
            <w:tcW w:w="3084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44 ч</w:t>
            </w:r>
          </w:p>
        </w:tc>
      </w:tr>
      <w:tr w:rsidR="00524A66" w:rsidRPr="0017622D" w:rsidTr="00D300C3">
        <w:tc>
          <w:tcPr>
            <w:tcW w:w="959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68 ч</w:t>
            </w:r>
            <w:r w:rsidR="00322288">
              <w:rPr>
                <w:sz w:val="24"/>
                <w:szCs w:val="24"/>
              </w:rPr>
              <w:t xml:space="preserve"> (2 часа в неделю)</w:t>
            </w:r>
          </w:p>
        </w:tc>
        <w:tc>
          <w:tcPr>
            <w:tcW w:w="3118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24 ч</w:t>
            </w:r>
          </w:p>
        </w:tc>
        <w:tc>
          <w:tcPr>
            <w:tcW w:w="3084" w:type="dxa"/>
          </w:tcPr>
          <w:p w:rsidR="00524A66" w:rsidRPr="0017622D" w:rsidRDefault="00524A66" w:rsidP="00D24F12">
            <w:pPr>
              <w:widowControl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7622D">
              <w:rPr>
                <w:sz w:val="24"/>
                <w:szCs w:val="24"/>
              </w:rPr>
              <w:t>44 ч</w:t>
            </w:r>
          </w:p>
        </w:tc>
      </w:tr>
    </w:tbl>
    <w:p w:rsidR="00524A66" w:rsidRDefault="00524A66" w:rsidP="00D24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12" w:rsidRDefault="00D24F12" w:rsidP="00D24F12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следующие формы проверки знаний учащихся: контрольные работы, тестирование, обобщающие уроки.</w:t>
      </w:r>
    </w:p>
    <w:p w:rsidR="00524A66" w:rsidRDefault="00322288" w:rsidP="0052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Составитель: учитель истории  и обществознания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Н.Н.Бауточко</w:t>
      </w:r>
      <w:proofErr w:type="spellEnd"/>
    </w:p>
    <w:sectPr w:rsidR="00524A66" w:rsidSect="000B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034"/>
    <w:multiLevelType w:val="multilevel"/>
    <w:tmpl w:val="454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838A9"/>
    <w:multiLevelType w:val="multilevel"/>
    <w:tmpl w:val="C6D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6CB"/>
    <w:rsid w:val="000569BF"/>
    <w:rsid w:val="000B1AFA"/>
    <w:rsid w:val="0017622D"/>
    <w:rsid w:val="00322288"/>
    <w:rsid w:val="00524A66"/>
    <w:rsid w:val="00860CA3"/>
    <w:rsid w:val="00A466CB"/>
    <w:rsid w:val="00AC168F"/>
    <w:rsid w:val="00D24F12"/>
    <w:rsid w:val="00D4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66C7"/>
  <w15:docId w15:val="{835CF9FF-51EC-426B-A708-B572840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52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2020-12-17T03:43:00Z</dcterms:created>
  <dcterms:modified xsi:type="dcterms:W3CDTF">2020-12-24T01:50:00Z</dcterms:modified>
</cp:coreProperties>
</file>